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xx-energy-monitoring-system-ems"/>
      <w:r>
        <w:rPr/>
        <w:t>ENERGY MONITORING SYSTEM (EMS)</w:t>
      </w:r>
    </w:p>
    <w:p>
      <w:pPr>
        <w:pStyle w:val="Heading2"/>
        <w:rPr/>
      </w:pPr>
      <w:bookmarkStart w:id="1" w:name="general"/>
      <w:bookmarkEnd w:id="1"/>
      <w:r>
        <w:rPr/>
        <w:t>1 GENERAL</w:t>
      </w:r>
    </w:p>
    <w:p>
      <w:pPr>
        <w:pStyle w:val="Heading3"/>
        <w:rPr/>
      </w:pPr>
      <w:bookmarkStart w:id="2" w:name="responsibilities"/>
      <w:r>
        <w:rPr/>
        <w:t>1.1 Responsibilities</w:t>
      </w:r>
    </w:p>
    <w:p>
      <w:pPr>
        <w:pStyle w:val="FirstParagraph"/>
        <w:rPr/>
      </w:pPr>
      <w:bookmarkStart w:id="3" w:name="responsibilities"/>
      <w:r>
        <w:rPr/>
        <w:t>Provide a complete Energy Monitoring System (EMS) to continuously measure, record and report electrical parameters at nominated switchboards and circuits, including hardware, software, communications, configuration, integration and commissioning. The EMS must support multi</w:t>
        <w:noBreakHyphen/>
        <w:t xml:space="preserve">circuit monitoring, local data resilience, and remote analytics and alerting. </w:t>
      </w:r>
      <w:bookmarkEnd w:id="3"/>
    </w:p>
    <w:p>
      <w:pPr>
        <w:pStyle w:val="Heading3"/>
        <w:rPr/>
      </w:pPr>
      <w:bookmarkStart w:id="4" w:name="associated-worksections"/>
      <w:r>
        <w:rPr/>
        <w:t>1.2 Associated worksections</w:t>
      </w:r>
    </w:p>
    <w:p>
      <w:pPr>
        <w:pStyle w:val="FirstParagraph"/>
        <w:rPr/>
      </w:pPr>
      <w:r>
        <w:rPr/>
        <w:t xml:space="preserve">Coordinate with: </w:t>
      </w:r>
    </w:p>
    <w:p>
      <w:pPr>
        <w:pStyle w:val="Compact"/>
        <w:widowControl/>
        <w:numPr>
          <w:ilvl w:val="0"/>
          <w:numId w:val="19"/>
        </w:numPr>
        <w:bidi w:val="0"/>
        <w:jc w:val="left"/>
        <w:rPr/>
      </w:pPr>
      <w:r>
        <w:rPr/>
        <w:t xml:space="preserve">Main switchboards and distribution boards. </w:t>
      </w:r>
    </w:p>
    <w:p>
      <w:pPr>
        <w:pStyle w:val="Compact"/>
        <w:widowControl/>
        <w:numPr>
          <w:ilvl w:val="0"/>
          <w:numId w:val="20"/>
        </w:numPr>
        <w:bidi w:val="0"/>
        <w:jc w:val="left"/>
        <w:rPr/>
      </w:pPr>
      <w:r>
        <w:rPr/>
        <w:t xml:space="preserve">Metering and protection. </w:t>
      </w:r>
    </w:p>
    <w:p>
      <w:pPr>
        <w:pStyle w:val="Compact"/>
        <w:widowControl/>
        <w:numPr>
          <w:ilvl w:val="0"/>
          <w:numId w:val="21"/>
        </w:numPr>
        <w:bidi w:val="0"/>
        <w:jc w:val="left"/>
        <w:rPr/>
      </w:pPr>
      <w:r>
        <w:rPr/>
        <w:t xml:space="preserve">Communications. </w:t>
      </w:r>
    </w:p>
    <w:p>
      <w:pPr>
        <w:pStyle w:val="Compact"/>
        <w:widowControl/>
        <w:numPr>
          <w:ilvl w:val="0"/>
          <w:numId w:val="22"/>
        </w:numPr>
        <w:bidi w:val="0"/>
        <w:jc w:val="left"/>
        <w:rPr/>
      </w:pPr>
      <w:bookmarkStart w:id="5" w:name="associated-worksections"/>
      <w:r>
        <w:rPr/>
        <w:t xml:space="preserve">Building Management/Automation System </w:t>
      </w:r>
      <w:bookmarkEnd w:id="5"/>
    </w:p>
    <w:p>
      <w:pPr>
        <w:pStyle w:val="Heading3"/>
        <w:rPr/>
      </w:pPr>
      <w:bookmarkStart w:id="6" w:name="submittals"/>
      <w:r>
        <w:rPr/>
        <w:t>1.3 Submittals</w:t>
      </w:r>
    </w:p>
    <w:p>
      <w:pPr>
        <w:pStyle w:val="Compact"/>
        <w:numPr>
          <w:ilvl w:val="0"/>
          <w:numId w:val="1"/>
        </w:numPr>
        <w:rPr/>
      </w:pPr>
      <w:r>
        <w:rPr>
          <w:b/>
          <w:bCs/>
        </w:rPr>
        <w:t>Data and reporting plan:</w:t>
      </w:r>
      <w:r>
        <w:rPr/>
        <w:t xml:space="preserve"> naming, sampling/reporting intervals, retention, standard dashboards and alerts.</w:t>
      </w:r>
    </w:p>
    <w:p>
      <w:pPr>
        <w:pStyle w:val="Compact"/>
        <w:numPr>
          <w:ilvl w:val="0"/>
          <w:numId w:val="1"/>
        </w:numPr>
        <w:rPr/>
      </w:pPr>
      <w:r>
        <w:rPr>
          <w:b/>
          <w:bCs/>
        </w:rPr>
        <w:t>Integration plan:</w:t>
      </w:r>
      <w:r>
        <w:rPr/>
        <w:t xml:space="preserve"> Third</w:t>
        <w:noBreakHyphen/>
        <w:t>party data sources  (e.g, REST API, BMS).</w:t>
      </w:r>
    </w:p>
    <w:p>
      <w:pPr>
        <w:pStyle w:val="Compact"/>
        <w:numPr>
          <w:ilvl w:val="0"/>
          <w:numId w:val="1"/>
        </w:numPr>
        <w:rPr/>
      </w:pPr>
      <w:r>
        <w:rPr>
          <w:b/>
          <w:bCs/>
        </w:rPr>
        <w:t>Commissioning results:</w:t>
      </w:r>
      <w:r>
        <w:rPr/>
        <w:t xml:space="preserve">  end</w:t>
        <w:noBreakHyphen/>
        <w:t>to</w:t>
        <w:noBreakHyphen/>
        <w:t xml:space="preserve">end data flow, </w:t>
      </w:r>
      <w:r>
        <w:rPr/>
        <w:t>CT sizes, configuration</w:t>
      </w:r>
    </w:p>
    <w:p>
      <w:pPr>
        <w:pStyle w:val="Compact"/>
        <w:numPr>
          <w:ilvl w:val="0"/>
          <w:numId w:val="1"/>
        </w:numPr>
        <w:rPr/>
      </w:pPr>
      <w:r>
        <w:rPr>
          <w:b/>
          <w:bCs/>
        </w:rPr>
        <w:t>O&amp;M manuals:</w:t>
      </w:r>
      <w:r>
        <w:rPr/>
        <w:t xml:space="preserve"> As</w:t>
        <w:noBreakHyphen/>
        <w:t xml:space="preserve">installed schedules, credentials, </w:t>
      </w:r>
      <w:r>
        <w:rPr/>
        <w:t>training sources</w:t>
      </w:r>
      <w:r>
        <w:rPr/>
        <w:t>.</w:t>
      </w:r>
      <w:bookmarkEnd w:id="6"/>
    </w:p>
    <w:p>
      <w:pPr>
        <w:pStyle w:val="Heading3"/>
        <w:rPr/>
      </w:pPr>
      <w:bookmarkStart w:id="7" w:name="warranty"/>
      <w:r>
        <w:rPr/>
        <w:t>1.4 Warranty</w:t>
      </w:r>
    </w:p>
    <w:p>
      <w:pPr>
        <w:pStyle w:val="FirstParagraph"/>
        <w:rPr/>
      </w:pPr>
      <w:bookmarkStart w:id="8" w:name="warranty"/>
      <w:r>
        <w:rPr/>
        <w:t>Minimum 3</w:t>
        <w:noBreakHyphen/>
        <w:t>year parts and labour on EMS hardware, plus workmanship warranty.</w:t>
      </w:r>
      <w:bookmarkEnd w:id="8"/>
    </w:p>
    <w:p>
      <w:pPr>
        <w:pStyle w:val="Heading2"/>
        <w:rPr/>
      </w:pPr>
      <w:bookmarkStart w:id="9" w:name="general"/>
      <w:bookmarkStart w:id="10" w:name="products"/>
      <w:bookmarkEnd w:id="9"/>
      <w:r>
        <w:rPr/>
        <w:t>2 PRODUCTS</w:t>
      </w:r>
    </w:p>
    <w:p>
      <w:pPr>
        <w:pStyle w:val="Heading3"/>
        <w:rPr/>
      </w:pPr>
      <w:bookmarkStart w:id="11" w:name="system-type"/>
      <w:r>
        <w:rPr/>
        <w:t>2.1 System type</w:t>
      </w:r>
    </w:p>
    <w:p>
      <w:pPr>
        <w:pStyle w:val="Compact"/>
        <w:numPr>
          <w:ilvl w:val="0"/>
          <w:numId w:val="23"/>
        </w:numPr>
        <w:rPr/>
      </w:pPr>
      <w:r>
        <w:rPr/>
        <w:t xml:space="preserve">Basis of design: </w:t>
      </w:r>
      <w:r>
        <w:rPr>
          <w:b/>
          <w:bCs/>
        </w:rPr>
        <w:t>PhiSaver or approved equal.</w:t>
      </w:r>
    </w:p>
    <w:p>
      <w:pPr>
        <w:pStyle w:val="Compact"/>
        <w:numPr>
          <w:ilvl w:val="0"/>
          <w:numId w:val="24"/>
        </w:numPr>
        <w:rPr/>
      </w:pPr>
      <w:bookmarkStart w:id="12" w:name="system-type"/>
      <w:r>
        <w:rPr/>
        <w:t>Function: Multi</w:t>
        <w:noBreakHyphen/>
        <w:t>circuit electrical monitoring of voltage, current, energy (kWh) and power factor with analytics.</w:t>
      </w:r>
      <w:bookmarkEnd w:id="12"/>
    </w:p>
    <w:p>
      <w:pPr>
        <w:pStyle w:val="Heading3"/>
        <w:rPr/>
      </w:pPr>
      <w:bookmarkStart w:id="13" w:name="sensors-cts"/>
      <w:r>
        <w:rPr/>
        <w:t>2.2 Sensors (CTs)</w:t>
      </w:r>
    </w:p>
    <w:p>
      <w:pPr>
        <w:pStyle w:val="Compact"/>
        <w:numPr>
          <w:ilvl w:val="0"/>
          <w:numId w:val="25"/>
        </w:numPr>
        <w:rPr/>
      </w:pPr>
      <w:r>
        <w:rPr/>
        <w:t>Type: Split</w:t>
        <w:noBreakHyphen/>
        <w:t>core/double</w:t>
        <w:noBreakHyphen/>
        <w:t>insulated current transformers sized to suit conductor/busbar; typical 20 A to 1000 A range; custom CTs for busbars where required.</w:t>
      </w:r>
    </w:p>
    <w:p>
      <w:pPr>
        <w:pStyle w:val="Compact"/>
        <w:numPr>
          <w:ilvl w:val="0"/>
          <w:numId w:val="26"/>
        </w:numPr>
        <w:rPr/>
      </w:pPr>
      <w:r>
        <w:rPr/>
        <w:t>Accuracy: Manufacturer’s standard for the selected range; match CT ratio in configuration.</w:t>
      </w:r>
    </w:p>
    <w:p>
      <w:pPr>
        <w:pStyle w:val="Compact"/>
        <w:numPr>
          <w:ilvl w:val="0"/>
          <w:numId w:val="27"/>
        </w:numPr>
        <w:rPr/>
      </w:pPr>
      <w:r>
        <w:rPr/>
        <w:t>Installation: Clip</w:t>
        <w:noBreakHyphen/>
        <w:t>on around each monitored phase/feeder; maintain directionality; label to circuit schedule.</w:t>
      </w:r>
    </w:p>
    <w:p>
      <w:pPr>
        <w:pStyle w:val="Compact"/>
        <w:numPr>
          <w:ilvl w:val="0"/>
          <w:numId w:val="28"/>
        </w:numPr>
        <w:rPr/>
      </w:pPr>
      <w:bookmarkStart w:id="14" w:name="sensors-cts"/>
      <w:r>
        <w:rPr/>
        <w:t>Approved makes: Accu or Echun, or equal.</w:t>
      </w:r>
      <w:bookmarkEnd w:id="14"/>
    </w:p>
    <w:p>
      <w:pPr>
        <w:pStyle w:val="Heading3"/>
        <w:rPr/>
      </w:pPr>
      <w:bookmarkStart w:id="15" w:name="controllers-data-acquisition"/>
      <w:r>
        <w:rPr/>
        <w:t>2.3 Controllers / data acquisition</w:t>
      </w:r>
    </w:p>
    <w:p>
      <w:pPr>
        <w:pStyle w:val="Compact"/>
        <w:numPr>
          <w:ilvl w:val="0"/>
          <w:numId w:val="29"/>
        </w:numPr>
        <w:rPr/>
      </w:pPr>
      <w:r>
        <w:rPr/>
        <w:t>Hardware: Multi</w:t>
        <w:noBreakHyphen/>
        <w:t>channel monitor with voltage reference input and CT inputs; automatic restart on power loss.</w:t>
      </w:r>
    </w:p>
    <w:p>
      <w:pPr>
        <w:pStyle w:val="Compact"/>
        <w:numPr>
          <w:ilvl w:val="0"/>
          <w:numId w:val="30"/>
        </w:numPr>
        <w:rPr/>
      </w:pPr>
      <w:r>
        <w:rPr/>
        <w:t>Sampling and reporting: High</w:t>
        <w:noBreakHyphen/>
        <w:t xml:space="preserve">rate internal sampling with </w:t>
      </w:r>
      <w:r>
        <w:rPr>
          <w:b/>
          <w:bCs/>
        </w:rPr>
        <w:t>reporting interval 10 s</w:t>
      </w:r>
      <w:r>
        <w:rPr/>
        <w:t xml:space="preserve"> (configurable).</w:t>
      </w:r>
    </w:p>
    <w:p>
      <w:pPr>
        <w:pStyle w:val="Compact"/>
        <w:numPr>
          <w:ilvl w:val="0"/>
          <w:numId w:val="31"/>
        </w:numPr>
        <w:rPr/>
      </w:pPr>
      <w:bookmarkStart w:id="16" w:name="controllers-data-acquisition"/>
      <w:r>
        <w:rPr/>
        <w:t>Local storage: Minimum 5 years time</w:t>
        <w:noBreakHyphen/>
        <w:t>series buffer with circular overwrite.</w:t>
      </w:r>
      <w:bookmarkEnd w:id="16"/>
    </w:p>
    <w:p>
      <w:pPr>
        <w:pStyle w:val="Heading3"/>
        <w:rPr/>
      </w:pPr>
      <w:bookmarkStart w:id="17" w:name="enclosures"/>
      <w:r>
        <w:rPr/>
        <w:t>2.4 Enclosures</w:t>
      </w:r>
    </w:p>
    <w:p>
      <w:pPr>
        <w:pStyle w:val="Compact"/>
        <w:numPr>
          <w:ilvl w:val="0"/>
          <w:numId w:val="32"/>
        </w:numPr>
        <w:rPr/>
      </w:pPr>
      <w:r>
        <w:rPr/>
        <w:t>Construction: Polycarbonate or 1.6 mm sheet</w:t>
        <w:noBreakHyphen/>
        <w:t>metal, earthed, tamper</w:t>
        <w:noBreakHyphen/>
        <w:t>resistant, IP66 weatherproof where exposed; external lockable where accessible to the public. Provide separate EMS enclosure adjacent to boards to allow validation under power.</w:t>
      </w:r>
    </w:p>
    <w:p>
      <w:pPr>
        <w:pStyle w:val="Compact"/>
        <w:numPr>
          <w:ilvl w:val="0"/>
          <w:numId w:val="33"/>
        </w:numPr>
        <w:rPr/>
      </w:pPr>
      <w:bookmarkStart w:id="18" w:name="enclosures"/>
      <w:r>
        <w:rPr/>
        <w:t>Space and access: Allow service clearances for CT validation and maintenance.</w:t>
      </w:r>
      <w:bookmarkEnd w:id="18"/>
    </w:p>
    <w:p>
      <w:pPr>
        <w:pStyle w:val="Heading3"/>
        <w:rPr/>
      </w:pPr>
      <w:bookmarkStart w:id="19" w:name="power-supply"/>
      <w:r>
        <w:rPr/>
        <w:t>2.5 Power supply</w:t>
      </w:r>
    </w:p>
    <w:p>
      <w:pPr>
        <w:pStyle w:val="Compact"/>
        <w:numPr>
          <w:ilvl w:val="0"/>
          <w:numId w:val="34"/>
        </w:numPr>
        <w:rPr/>
      </w:pPr>
      <w:bookmarkStart w:id="20" w:name="power-supply"/>
      <w:r>
        <w:rPr/>
        <w:t>Dedicated GPO/UPS</w:t>
        <w:noBreakHyphen/>
        <w:t>ready supply to EMS enclosure; include 9 V voltage reference transformer as required.</w:t>
      </w:r>
      <w:bookmarkEnd w:id="20"/>
    </w:p>
    <w:p>
      <w:pPr>
        <w:pStyle w:val="Heading3"/>
        <w:rPr/>
      </w:pPr>
      <w:bookmarkStart w:id="21" w:name="communications"/>
      <w:r>
        <w:rPr/>
        <w:t>2.6 Communications</w:t>
      </w:r>
    </w:p>
    <w:p>
      <w:pPr>
        <w:pStyle w:val="Compact"/>
        <w:numPr>
          <w:ilvl w:val="0"/>
          <w:numId w:val="35"/>
        </w:numPr>
        <w:rPr/>
      </w:pPr>
      <w:r>
        <w:rPr/>
        <w:t>D</w:t>
      </w:r>
      <w:r>
        <w:rPr/>
        <w:t xml:space="preserve">edicated </w:t>
      </w:r>
      <w:r>
        <w:rPr>
          <w:b/>
          <w:bCs/>
        </w:rPr>
        <w:t>4G gateway</w:t>
      </w:r>
      <w:r>
        <w:rPr/>
        <w:t xml:space="preserve"> to the EMS to ensure connectivity. Provide external antennae as required.</w:t>
      </w:r>
    </w:p>
    <w:p>
      <w:pPr>
        <w:pStyle w:val="Compact"/>
        <w:numPr>
          <w:ilvl w:val="0"/>
          <w:numId w:val="36"/>
        </w:numPr>
        <w:rPr/>
      </w:pPr>
      <w:bookmarkStart w:id="22" w:name="communications"/>
      <w:r>
        <w:rPr/>
        <w:t>Resilience: Cache data locally during outages; auto</w:t>
        <w:noBreakHyphen/>
        <w:t>sync on reconnection.</w:t>
      </w:r>
      <w:bookmarkEnd w:id="22"/>
    </w:p>
    <w:p>
      <w:pPr>
        <w:pStyle w:val="Heading3"/>
        <w:rPr/>
      </w:pPr>
      <w:bookmarkStart w:id="23" w:name="software-and-cloud-services"/>
      <w:r>
        <w:rPr/>
        <w:t>2.7 Software and cloud services</w:t>
      </w:r>
    </w:p>
    <w:p>
      <w:pPr>
        <w:pStyle w:val="Compact"/>
        <w:numPr>
          <w:ilvl w:val="0"/>
          <w:numId w:val="37"/>
        </w:numPr>
        <w:rPr/>
      </w:pPr>
      <w:r>
        <w:rPr/>
        <w:t>Dashboards: Web/mobile responsive UI with charts, heat maps and custom images; multi</w:t>
        <w:noBreakHyphen/>
        <w:t>site roll</w:t>
        <w:noBreakHyphen/>
        <w:t>ups where applicable.</w:t>
      </w:r>
    </w:p>
    <w:p>
      <w:pPr>
        <w:pStyle w:val="Compact"/>
        <w:numPr>
          <w:ilvl w:val="0"/>
          <w:numId w:val="38"/>
        </w:numPr>
        <w:rPr/>
      </w:pPr>
      <w:r>
        <w:rPr/>
        <w:t>Alerts and reporting: Configurable scheduled email/PDF and event</w:t>
        <w:noBreakHyphen/>
        <w:t>based SMS/alerts (e.g. “solar offline”).</w:t>
      </w:r>
    </w:p>
    <w:p>
      <w:pPr>
        <w:pStyle w:val="Compact"/>
        <w:numPr>
          <w:ilvl w:val="0"/>
          <w:numId w:val="39"/>
        </w:numPr>
        <w:rPr/>
      </w:pPr>
      <w:r>
        <w:rPr/>
        <w:t>Hosting and data protection: Commercial cloud hosting with redundant storage and daily backups; preference for open</w:t>
        <w:noBreakHyphen/>
        <w:t>source software stack.</w:t>
      </w:r>
    </w:p>
    <w:p>
      <w:pPr>
        <w:pStyle w:val="Compact"/>
        <w:numPr>
          <w:ilvl w:val="0"/>
          <w:numId w:val="40"/>
        </w:numPr>
        <w:rPr/>
      </w:pPr>
      <w:bookmarkStart w:id="24" w:name="software-and-cloud-services"/>
      <w:r>
        <w:rPr/>
        <w:t>Accounts and permissions: Site</w:t>
        <w:noBreakHyphen/>
        <w:t>level and fleet</w:t>
        <w:noBreakHyphen/>
        <w:t>level roles.</w:t>
      </w:r>
      <w:bookmarkEnd w:id="24"/>
    </w:p>
    <w:p>
      <w:pPr>
        <w:pStyle w:val="Heading3"/>
        <w:rPr/>
      </w:pPr>
      <w:bookmarkStart w:id="25" w:name="interfaces-and-integration"/>
      <w:r>
        <w:rPr/>
        <w:t>2.8 Interfaces and integration</w:t>
      </w:r>
    </w:p>
    <w:p>
      <w:pPr>
        <w:pStyle w:val="Compact"/>
        <w:numPr>
          <w:ilvl w:val="0"/>
          <w:numId w:val="41"/>
        </w:numPr>
        <w:rPr/>
      </w:pPr>
      <w:r>
        <w:rPr/>
        <w:t>Ingest: Modbus (local) and web APIs (remote) for third</w:t>
        <w:noBreakHyphen/>
        <w:t>party data; map into dashboards and reports.</w:t>
      </w:r>
    </w:p>
    <w:p>
      <w:pPr>
        <w:pStyle w:val="Compact"/>
        <w:numPr>
          <w:ilvl w:val="0"/>
          <w:numId w:val="42"/>
        </w:numPr>
        <w:rPr/>
      </w:pPr>
      <w:bookmarkStart w:id="26" w:name="products"/>
      <w:bookmarkStart w:id="27" w:name="interfaces-and-integration"/>
      <w:r>
        <w:rPr/>
        <w:t>Expose: RESTful API and embeddable live panels for BMS/portal integration and kiosk mode.</w:t>
      </w:r>
      <w:bookmarkEnd w:id="26"/>
      <w:bookmarkEnd w:id="27"/>
    </w:p>
    <w:p>
      <w:pPr>
        <w:pStyle w:val="Heading2"/>
        <w:rPr/>
      </w:pPr>
      <w:bookmarkStart w:id="28" w:name="execution"/>
      <w:r>
        <w:rPr/>
        <w:t>3 EXECUTION</w:t>
      </w:r>
    </w:p>
    <w:p>
      <w:pPr>
        <w:pStyle w:val="Heading3"/>
        <w:rPr/>
      </w:pPr>
      <w:bookmarkStart w:id="29" w:name="installation"/>
      <w:r>
        <w:rPr/>
        <w:t>3.1 Installation</w:t>
      </w:r>
    </w:p>
    <w:p>
      <w:pPr>
        <w:pStyle w:val="Compact"/>
        <w:numPr>
          <w:ilvl w:val="0"/>
          <w:numId w:val="43"/>
        </w:numPr>
        <w:rPr/>
      </w:pPr>
      <w:r>
        <w:rPr/>
        <w:t>Mount EMS enclosure adjacent to each nominated switchboard; route CT leads neatly and segregate ELV from LV.</w:t>
      </w:r>
    </w:p>
    <w:p>
      <w:pPr>
        <w:pStyle w:val="Compact"/>
        <w:numPr>
          <w:ilvl w:val="0"/>
          <w:numId w:val="44"/>
        </w:numPr>
        <w:rPr/>
      </w:pPr>
      <w:r>
        <w:rPr/>
        <w:t>Clip CTs to each nominated circuit/feeder per schedule; verify phase association and polarity; label CTs and inputs to match drawings.</w:t>
      </w:r>
    </w:p>
    <w:p>
      <w:pPr>
        <w:pStyle w:val="Compact"/>
        <w:numPr>
          <w:ilvl w:val="0"/>
          <w:numId w:val="45"/>
        </w:numPr>
        <w:rPr/>
      </w:pPr>
      <w:r>
        <w:rPr/>
        <w:t>Provide communications per design (Wi</w:t>
        <w:noBreakHyphen/>
        <w:t>Fi/WAP/4G/5G) and test signal strength and throughput.</w:t>
      </w:r>
    </w:p>
    <w:p>
      <w:pPr>
        <w:pStyle w:val="Compact"/>
        <w:numPr>
          <w:ilvl w:val="0"/>
          <w:numId w:val="46"/>
        </w:numPr>
        <w:rPr/>
      </w:pPr>
      <w:bookmarkStart w:id="30" w:name="installation"/>
      <w:r>
        <w:rPr/>
        <w:t>Minimise outages; where practicable, confine power</w:t>
        <w:noBreakHyphen/>
        <w:t>off to ≤ 2 hours per board.</w:t>
      </w:r>
      <w:bookmarkEnd w:id="30"/>
    </w:p>
    <w:p>
      <w:pPr>
        <w:pStyle w:val="Heading3"/>
        <w:rPr/>
      </w:pPr>
      <w:bookmarkStart w:id="31" w:name="configuration"/>
      <w:r>
        <w:rPr/>
        <w:t>3.2 Configuration</w:t>
      </w:r>
    </w:p>
    <w:p>
      <w:pPr>
        <w:pStyle w:val="Compact"/>
        <w:numPr>
          <w:ilvl w:val="0"/>
          <w:numId w:val="47"/>
        </w:numPr>
        <w:rPr/>
      </w:pPr>
      <w:r>
        <w:rPr/>
        <w:t>Create point database (tags) with consistent naming; configure aggregations (e.g. Pool Plant, HVAC, Lighting) and “total unmonitored load” per board.</w:t>
      </w:r>
    </w:p>
    <w:p>
      <w:pPr>
        <w:pStyle w:val="Compact"/>
        <w:numPr>
          <w:ilvl w:val="0"/>
          <w:numId w:val="48"/>
        </w:numPr>
        <w:rPr/>
      </w:pPr>
      <w:r>
        <w:rPr/>
        <w:t xml:space="preserve">Set </w:t>
      </w:r>
      <w:r>
        <w:rPr>
          <w:b/>
          <w:bCs/>
        </w:rPr>
        <w:t>reporting interval = 10 s</w:t>
      </w:r>
      <w:r>
        <w:rPr/>
        <w:t xml:space="preserve"> (unless noted otherwise).</w:t>
      </w:r>
    </w:p>
    <w:p>
      <w:pPr>
        <w:pStyle w:val="Compact"/>
        <w:numPr>
          <w:ilvl w:val="0"/>
          <w:numId w:val="49"/>
        </w:numPr>
        <w:rPr/>
      </w:pPr>
      <w:bookmarkStart w:id="32" w:name="configuration"/>
      <w:r>
        <w:rPr/>
        <w:t>Implement user accounts: facility manager (site) and administrator (fleet) roles.</w:t>
      </w:r>
      <w:bookmarkEnd w:id="32"/>
    </w:p>
    <w:p>
      <w:pPr>
        <w:pStyle w:val="Heading3"/>
        <w:rPr/>
      </w:pPr>
      <w:bookmarkStart w:id="33" w:name="commissioning-and-acceptance-tests"/>
      <w:r>
        <w:rPr/>
        <w:t>3.3 Commissioning and acceptance tests</w:t>
      </w:r>
    </w:p>
    <w:p>
      <w:pPr>
        <w:pStyle w:val="Compact"/>
        <w:numPr>
          <w:ilvl w:val="0"/>
          <w:numId w:val="50"/>
        </w:numPr>
        <w:rPr/>
      </w:pPr>
      <w:r>
        <w:rPr>
          <w:b/>
          <w:bCs/>
        </w:rPr>
        <w:t>Point</w:t>
        <w:noBreakHyphen/>
        <w:t>to</w:t>
        <w:noBreakHyphen/>
        <w:t>point check:</w:t>
      </w:r>
      <w:r>
        <w:rPr/>
        <w:t xml:space="preserve"> Verify every CT against clamp meter sample; correct polarity and ratios.</w:t>
      </w:r>
    </w:p>
    <w:p>
      <w:pPr>
        <w:pStyle w:val="Compact"/>
        <w:numPr>
          <w:ilvl w:val="0"/>
          <w:numId w:val="51"/>
        </w:numPr>
        <w:rPr/>
      </w:pPr>
      <w:r>
        <w:rPr>
          <w:b/>
          <w:bCs/>
        </w:rPr>
        <w:t>Functional:</w:t>
      </w:r>
      <w:r>
        <w:rPr/>
        <w:t xml:space="preserve"> Live dashboards showing all points; historical backfill visible after 24 h; loss</w:t>
        <w:noBreakHyphen/>
        <w:t>of</w:t>
        <w:noBreakHyphen/>
        <w:t>comms test demonstrates local buffering and later cloud sync.</w:t>
      </w:r>
    </w:p>
    <w:p>
      <w:pPr>
        <w:pStyle w:val="Compact"/>
        <w:numPr>
          <w:ilvl w:val="0"/>
          <w:numId w:val="52"/>
        </w:numPr>
        <w:rPr/>
      </w:pPr>
      <w:r>
        <w:rPr>
          <w:b/>
          <w:bCs/>
        </w:rPr>
        <w:t>Reporting/alerts:</w:t>
      </w:r>
      <w:r>
        <w:rPr/>
        <w:t xml:space="preserve"> Demonstrate scheduled weekly email/PDF and at least one event</w:t>
        <w:noBreakHyphen/>
        <w:t>based alert.</w:t>
      </w:r>
    </w:p>
    <w:p>
      <w:pPr>
        <w:pStyle w:val="Compact"/>
        <w:numPr>
          <w:ilvl w:val="0"/>
          <w:numId w:val="53"/>
        </w:numPr>
        <w:rPr/>
      </w:pPr>
      <w:r>
        <w:rPr>
          <w:b/>
          <w:bCs/>
        </w:rPr>
        <w:t>Integration (if applicable):</w:t>
      </w:r>
      <w:r>
        <w:rPr/>
        <w:t xml:space="preserve"> Demonstrate ingest of one Modbus or API data source and exposure of one REST endpoint or embedded panel.</w:t>
      </w:r>
      <w:bookmarkEnd w:id="33"/>
    </w:p>
    <w:p>
      <w:pPr>
        <w:pStyle w:val="Heading3"/>
        <w:rPr/>
      </w:pPr>
      <w:bookmarkStart w:id="34" w:name="training"/>
      <w:r>
        <w:rPr/>
        <w:t>3.4 Training</w:t>
      </w:r>
    </w:p>
    <w:p>
      <w:pPr>
        <w:pStyle w:val="FirstParagraph"/>
        <w:rPr/>
      </w:pPr>
      <w:bookmarkStart w:id="35" w:name="execution"/>
      <w:bookmarkStart w:id="36" w:name="training"/>
      <w:r>
        <w:rPr/>
        <w:t>Provide session(s) for operators covering dashboards, ad</w:t>
        <w:noBreakHyphen/>
        <w:t>hoc analysis, downloading data, acknowledging alerts. Provide user guide.</w:t>
      </w:r>
      <w:bookmarkEnd w:id="35"/>
      <w:bookmarkEnd w:id="36"/>
    </w:p>
    <w:p>
      <w:pPr>
        <w:pStyle w:val="Heading2"/>
        <w:rPr/>
      </w:pPr>
      <w:bookmarkStart w:id="37" w:name="measurement-verification-mv"/>
      <w:bookmarkEnd w:id="37"/>
      <w:r>
        <w:rPr/>
        <w:t>4 MEASUREMENT &amp; VERIFICATION (M&amp;V)</w:t>
      </w:r>
    </w:p>
    <w:p>
      <w:pPr>
        <w:pStyle w:val="Heading3"/>
        <w:rPr/>
      </w:pPr>
      <w:bookmarkStart w:id="38" w:name="sampling-and-retention"/>
      <w:r>
        <w:rPr/>
        <w:t>4.1 Sampling and retention</w:t>
      </w:r>
    </w:p>
    <w:p>
      <w:pPr>
        <w:pStyle w:val="Compact"/>
        <w:numPr>
          <w:ilvl w:val="0"/>
          <w:numId w:val="54"/>
        </w:numPr>
        <w:rPr/>
      </w:pPr>
      <w:r>
        <w:rPr/>
        <w:t>Sub second w</w:t>
      </w:r>
      <w:r>
        <w:rPr/>
        <w:t xml:space="preserve">aveform sampling; </w:t>
      </w:r>
      <w:r>
        <w:rPr>
          <w:b/>
          <w:bCs/>
        </w:rPr>
        <w:t>minimum reporting 10 s</w:t>
      </w:r>
      <w:r>
        <w:rPr/>
        <w:t>; retain raw/interval data locally for ≥ 5 years with cloud copy.</w:t>
      </w:r>
      <w:bookmarkEnd w:id="38"/>
    </w:p>
    <w:p>
      <w:pPr>
        <w:pStyle w:val="Heading3"/>
        <w:rPr/>
      </w:pPr>
      <w:bookmarkStart w:id="39" w:name="standard-deliverables"/>
      <w:r>
        <w:rPr/>
        <w:t>4.2 Standard deliverables</w:t>
      </w:r>
    </w:p>
    <w:p>
      <w:pPr>
        <w:pStyle w:val="Compact"/>
        <w:numPr>
          <w:ilvl w:val="0"/>
          <w:numId w:val="55"/>
        </w:numPr>
        <w:rPr/>
      </w:pPr>
      <w:r>
        <w:rPr>
          <w:b/>
          <w:bCs/>
        </w:rPr>
        <w:t>Dashboards:</w:t>
      </w:r>
      <w:r>
        <w:rPr/>
        <w:t xml:space="preserve"> Real</w:t>
        <w:noBreakHyphen/>
        <w:t>time overview, weekly load profile, solar vs load (where applicable), and cost/day summaries.</w:t>
      </w:r>
    </w:p>
    <w:p>
      <w:pPr>
        <w:pStyle w:val="Compact"/>
        <w:numPr>
          <w:ilvl w:val="0"/>
          <w:numId w:val="56"/>
        </w:numPr>
        <w:rPr/>
      </w:pPr>
      <w:r>
        <w:rPr>
          <w:b/>
          <w:bCs/>
        </w:rPr>
        <w:t>Reports/alerts:</w:t>
      </w:r>
      <w:r>
        <w:rPr/>
        <w:t xml:space="preserve"> Weekly summary email/PDF and critical event alerts (e.g. abnormal baseload, solar offline).</w:t>
      </w:r>
    </w:p>
    <w:p>
      <w:pPr>
        <w:pStyle w:val="Compact"/>
        <w:numPr>
          <w:ilvl w:val="0"/>
          <w:numId w:val="57"/>
        </w:numPr>
        <w:rPr/>
      </w:pPr>
      <w:r>
        <w:rPr>
          <w:b/>
          <w:bCs/>
        </w:rPr>
        <w:t>Multi</w:t>
        <w:noBreakHyphen/>
        <w:t>site views (where applicable):</w:t>
      </w:r>
      <w:r>
        <w:rPr/>
        <w:t xml:space="preserve"> Fleet map with consumption/solar overlays and category roll</w:t>
        <w:noBreakHyphen/>
        <w:t>ups.</w:t>
      </w:r>
      <w:bookmarkEnd w:id="39"/>
    </w:p>
    <w:p>
      <w:pPr>
        <w:pStyle w:val="Heading3"/>
        <w:rPr/>
      </w:pPr>
      <w:r>
        <w:rPr/>
      </w:r>
      <w:bookmarkStart w:id="40" w:name="measurement-verification-mv"/>
      <w:bookmarkStart w:id="41" w:name="measurement-verification-mv"/>
      <w:bookmarkEnd w:id="41"/>
    </w:p>
    <w:p>
      <w:pPr>
        <w:pStyle w:val="Heading2"/>
        <w:rPr/>
      </w:pPr>
      <w:bookmarkStart w:id="42" w:name="selections"/>
      <w:r>
        <w:rPr/>
        <w:t>5 SELECTIONS</w:t>
      </w:r>
    </w:p>
    <w:p>
      <w:pPr>
        <w:pStyle w:val="Heading3"/>
        <w:rPr/>
      </w:pPr>
      <w:bookmarkStart w:id="43" w:name="approved-manufacturer"/>
      <w:r>
        <w:rPr/>
        <w:t>5.1 Approved manufacturer</w:t>
      </w:r>
    </w:p>
    <w:p>
      <w:pPr>
        <w:pStyle w:val="Compact"/>
        <w:numPr>
          <w:ilvl w:val="0"/>
          <w:numId w:val="58"/>
        </w:numPr>
        <w:rPr/>
      </w:pPr>
      <w:r>
        <w:rPr>
          <w:b/>
          <w:bCs/>
        </w:rPr>
        <w:t>PhiSaver or approved equal.</w:t>
      </w:r>
      <w:r>
        <w:rPr/>
        <w:t xml:space="preserve"> Any alternate must demonstrate, at a minimum:</w:t>
      </w:r>
    </w:p>
    <w:p>
      <w:pPr>
        <w:pStyle w:val="Compact"/>
        <w:numPr>
          <w:ilvl w:val="1"/>
          <w:numId w:val="59"/>
        </w:numPr>
        <w:rPr/>
      </w:pPr>
      <w:r>
        <w:rPr/>
        <w:t>Circuit</w:t>
        <w:noBreakHyphen/>
        <w:t>level monitoring with CT range ≥ 20–1000 A;</w:t>
      </w:r>
    </w:p>
    <w:p>
      <w:pPr>
        <w:pStyle w:val="Compact"/>
        <w:numPr>
          <w:ilvl w:val="1"/>
          <w:numId w:val="60"/>
        </w:numPr>
        <w:rPr/>
      </w:pPr>
      <w:r>
        <w:rPr/>
        <w:t>10 s reporting; five</w:t>
        <w:noBreakHyphen/>
        <w:t>year local storage; auto</w:t>
        <w:noBreakHyphen/>
        <w:t>sync on comms restore;</w:t>
      </w:r>
    </w:p>
    <w:p>
      <w:pPr>
        <w:pStyle w:val="Compact"/>
        <w:numPr>
          <w:ilvl w:val="1"/>
          <w:numId w:val="61"/>
        </w:numPr>
        <w:rPr/>
      </w:pPr>
      <w:r>
        <w:rPr/>
        <w:t>Web/mobile dashboards, scheduled reports, SMS/alerts, kiosk mode;</w:t>
      </w:r>
    </w:p>
    <w:p>
      <w:pPr>
        <w:pStyle w:val="Compact"/>
        <w:numPr>
          <w:ilvl w:val="1"/>
          <w:numId w:val="62"/>
        </w:numPr>
        <w:rPr/>
      </w:pPr>
      <w:r>
        <w:rPr/>
        <w:t>API ingest/expose capabilities and role</w:t>
        <w:noBreakHyphen/>
        <w:t>based permissions;</w:t>
      </w:r>
    </w:p>
    <w:p>
      <w:pPr>
        <w:pStyle w:val="Compact"/>
        <w:numPr>
          <w:ilvl w:val="1"/>
          <w:numId w:val="63"/>
        </w:numPr>
        <w:spacing w:before="36" w:after="36"/>
        <w:rPr/>
      </w:pPr>
      <w:bookmarkStart w:id="44" w:name="xx-energy-monitoring-system-ems"/>
      <w:bookmarkStart w:id="45" w:name="selections"/>
      <w:bookmarkStart w:id="46" w:name="approved-manufacturer"/>
      <w:r>
        <w:rPr/>
        <w:t>Commercial</w:t>
        <w:noBreakHyphen/>
        <w:t>grade cloud hosting with daily backups; 3</w:t>
        <w:noBreakHyphen/>
        <w:t>year warranty.</w:t>
      </w:r>
      <w:bookmarkEnd w:id="44"/>
      <w:bookmarkEnd w:id="45"/>
      <w:bookmarkEnd w:id="46"/>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7"/>
    <w:lvlOverride w:ilvl="0">
      <w:lvl w:ilvl="0">
        <w:numFmt w:val="bullet"/>
        <w:lvlText w:val=""/>
        <w:lvlJc w:val="left"/>
        <w:pPr>
          <w:tabs>
            <w:tab w:val="num" w:pos="0"/>
          </w:tabs>
          <w:ind w:left="720" w:hanging="360"/>
        </w:pPr>
        <w:rPr>
          <w:rFonts w:ascii="Symbol" w:hAnsi="Symbol" w:cs="Symbol" w:hint="default"/>
        </w:rPr>
      </w:lvl>
    </w:lvlOverride>
    <w:lvlOverride w:ilvl="0">
      <w:startOverride w:val="0"/>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1">
      <w:startOverride w:val="0"/>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2">
      <w:startOverride w:val="0"/>
    </w:lvlOverride>
    <w:lvlOverride w:ilvl="3">
      <w:lvl w:ilvl="3">
        <w:start w:val="0"/>
        <w:numFmt w:val="bullet"/>
        <w:lvlText w:val=""/>
        <w:lvlJc w:val="left"/>
        <w:pPr>
          <w:tabs>
            <w:tab w:val="num" w:pos="0"/>
          </w:tabs>
          <w:ind w:left="2880" w:hanging="360"/>
        </w:pPr>
        <w:rPr>
          <w:rFonts w:ascii="Symbol" w:hAnsi="Symbol" w:cs="Symbol" w:hint="default"/>
        </w:rPr>
      </w:lvl>
    </w:lvlOverride>
    <w:lvlOverride w:ilvl="3">
      <w:startOverride w:val="0"/>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4">
      <w:startOverride w:val="0"/>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5">
      <w:startOverride w:val="0"/>
    </w:lvlOverride>
    <w:lvlOverride w:ilvl="6">
      <w:lvl w:ilvl="6">
        <w:start w:val="0"/>
        <w:numFmt w:val="bullet"/>
        <w:lvlText w:val=""/>
        <w:lvlJc w:val="left"/>
        <w:pPr>
          <w:tabs>
            <w:tab w:val="num" w:pos="0"/>
          </w:tabs>
          <w:ind w:left="5040" w:hanging="360"/>
        </w:pPr>
        <w:rPr>
          <w:rFonts w:ascii="Symbol" w:hAnsi="Symbol" w:cs="Symbol" w:hint="default"/>
        </w:rPr>
      </w:lvl>
    </w:lvlOverride>
    <w:lvlOverride w:ilvl="6">
      <w:startOverride w:val="0"/>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7">
      <w:startOverride w:val="0"/>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20">
    <w:abstractNumId w:val="17"/>
    <w:lvlOverride w:ilvl="0">
      <w:lvl w:ilvl="0">
        <w:numFmt w:val="bullet"/>
        <w:lvlText w:val=""/>
        <w:lvlJc w:val="left"/>
        <w:pPr>
          <w:tabs>
            <w:tab w:val="num" w:pos="0"/>
          </w:tabs>
          <w:ind w:left="720" w:hanging="360"/>
        </w:pPr>
        <w:rPr>
          <w:rFonts w:ascii="Symbol" w:hAnsi="Symbol" w:cs="Symbol" w:hint="default"/>
        </w:rPr>
      </w:lvl>
    </w:lvlOverride>
    <w:lvlOverride w:ilvl="0">
      <w:startOverride w:val="0"/>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1">
      <w:startOverride w:val="0"/>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2">
      <w:startOverride w:val="0"/>
    </w:lvlOverride>
    <w:lvlOverride w:ilvl="3">
      <w:lvl w:ilvl="3">
        <w:start w:val="0"/>
        <w:numFmt w:val="bullet"/>
        <w:lvlText w:val=""/>
        <w:lvlJc w:val="left"/>
        <w:pPr>
          <w:tabs>
            <w:tab w:val="num" w:pos="0"/>
          </w:tabs>
          <w:ind w:left="2880" w:hanging="360"/>
        </w:pPr>
        <w:rPr>
          <w:rFonts w:ascii="Symbol" w:hAnsi="Symbol" w:cs="Symbol" w:hint="default"/>
        </w:rPr>
      </w:lvl>
    </w:lvlOverride>
    <w:lvlOverride w:ilvl="3">
      <w:startOverride w:val="0"/>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4">
      <w:startOverride w:val="0"/>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5">
      <w:startOverride w:val="0"/>
    </w:lvlOverride>
    <w:lvlOverride w:ilvl="6">
      <w:lvl w:ilvl="6">
        <w:start w:val="0"/>
        <w:numFmt w:val="bullet"/>
        <w:lvlText w:val=""/>
        <w:lvlJc w:val="left"/>
        <w:pPr>
          <w:tabs>
            <w:tab w:val="num" w:pos="0"/>
          </w:tabs>
          <w:ind w:left="5040" w:hanging="360"/>
        </w:pPr>
        <w:rPr>
          <w:rFonts w:ascii="Symbol" w:hAnsi="Symbol" w:cs="Symbol" w:hint="default"/>
        </w:rPr>
      </w:lvl>
    </w:lvlOverride>
    <w:lvlOverride w:ilvl="6">
      <w:startOverride w:val="0"/>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7">
      <w:startOverride w:val="0"/>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21">
    <w:abstractNumId w:val="17"/>
    <w:lvlOverride w:ilvl="0">
      <w:lvl w:ilvl="0">
        <w:numFmt w:val="bullet"/>
        <w:lvlText w:val=""/>
        <w:lvlJc w:val="left"/>
        <w:pPr>
          <w:tabs>
            <w:tab w:val="num" w:pos="0"/>
          </w:tabs>
          <w:ind w:left="720" w:hanging="360"/>
        </w:pPr>
        <w:rPr>
          <w:rFonts w:ascii="Symbol" w:hAnsi="Symbol" w:cs="Symbol" w:hint="default"/>
        </w:rPr>
      </w:lvl>
    </w:lvlOverride>
    <w:lvlOverride w:ilvl="0">
      <w:startOverride w:val="0"/>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1">
      <w:startOverride w:val="0"/>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2">
      <w:startOverride w:val="0"/>
    </w:lvlOverride>
    <w:lvlOverride w:ilvl="3">
      <w:lvl w:ilvl="3">
        <w:start w:val="0"/>
        <w:numFmt w:val="bullet"/>
        <w:lvlText w:val=""/>
        <w:lvlJc w:val="left"/>
        <w:pPr>
          <w:tabs>
            <w:tab w:val="num" w:pos="0"/>
          </w:tabs>
          <w:ind w:left="2880" w:hanging="360"/>
        </w:pPr>
        <w:rPr>
          <w:rFonts w:ascii="Symbol" w:hAnsi="Symbol" w:cs="Symbol" w:hint="default"/>
        </w:rPr>
      </w:lvl>
    </w:lvlOverride>
    <w:lvlOverride w:ilvl="3">
      <w:startOverride w:val="0"/>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4">
      <w:startOverride w:val="0"/>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5">
      <w:startOverride w:val="0"/>
    </w:lvlOverride>
    <w:lvlOverride w:ilvl="6">
      <w:lvl w:ilvl="6">
        <w:start w:val="0"/>
        <w:numFmt w:val="bullet"/>
        <w:lvlText w:val=""/>
        <w:lvlJc w:val="left"/>
        <w:pPr>
          <w:tabs>
            <w:tab w:val="num" w:pos="0"/>
          </w:tabs>
          <w:ind w:left="5040" w:hanging="360"/>
        </w:pPr>
        <w:rPr>
          <w:rFonts w:ascii="Symbol" w:hAnsi="Symbol" w:cs="Symbol" w:hint="default"/>
        </w:rPr>
      </w:lvl>
    </w:lvlOverride>
    <w:lvlOverride w:ilvl="6">
      <w:startOverride w:val="0"/>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7">
      <w:startOverride w:val="0"/>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22">
    <w:abstractNumId w:val="17"/>
    <w:lvlOverride w:ilvl="0">
      <w:lvl w:ilvl="0">
        <w:numFmt w:val="bullet"/>
        <w:lvlText w:val=""/>
        <w:lvlJc w:val="left"/>
        <w:pPr>
          <w:tabs>
            <w:tab w:val="num" w:pos="0"/>
          </w:tabs>
          <w:ind w:left="720" w:hanging="360"/>
        </w:pPr>
        <w:rPr>
          <w:rFonts w:ascii="Symbol" w:hAnsi="Symbol" w:cs="Symbol" w:hint="default"/>
        </w:rPr>
      </w:lvl>
    </w:lvlOverride>
    <w:lvlOverride w:ilvl="0">
      <w:startOverride w:val="0"/>
    </w:lvlOverride>
    <w:lvlOverride w:ilvl="1">
      <w:lvl w:ilvl="1">
        <w:start w:val="0"/>
        <w:numFmt w:val="bullet"/>
        <w:lvlText w:val="o"/>
        <w:lvlJc w:val="left"/>
        <w:pPr>
          <w:tabs>
            <w:tab w:val="num" w:pos="0"/>
          </w:tabs>
          <w:ind w:left="1440" w:hanging="360"/>
        </w:pPr>
        <w:rPr>
          <w:rFonts w:ascii="Courier New" w:hAnsi="Courier New" w:cs="Courier New" w:hint="default"/>
        </w:rPr>
      </w:lvl>
    </w:lvlOverride>
    <w:lvlOverride w:ilvl="1">
      <w:startOverride w:val="0"/>
    </w:lvlOverride>
    <w:lvlOverride w:ilvl="2">
      <w:lvl w:ilvl="2">
        <w:start w:val="0"/>
        <w:numFmt w:val="bullet"/>
        <w:lvlText w:val=""/>
        <w:lvlJc w:val="left"/>
        <w:pPr>
          <w:tabs>
            <w:tab w:val="num" w:pos="0"/>
          </w:tabs>
          <w:ind w:left="2160" w:hanging="360"/>
        </w:pPr>
        <w:rPr>
          <w:rFonts w:ascii="Wingdings" w:hAnsi="Wingdings" w:cs="Wingdings" w:hint="default"/>
        </w:rPr>
      </w:lvl>
    </w:lvlOverride>
    <w:lvlOverride w:ilvl="2">
      <w:startOverride w:val="0"/>
    </w:lvlOverride>
    <w:lvlOverride w:ilvl="3">
      <w:lvl w:ilvl="3">
        <w:start w:val="0"/>
        <w:numFmt w:val="bullet"/>
        <w:lvlText w:val=""/>
        <w:lvlJc w:val="left"/>
        <w:pPr>
          <w:tabs>
            <w:tab w:val="num" w:pos="0"/>
          </w:tabs>
          <w:ind w:left="2880" w:hanging="360"/>
        </w:pPr>
        <w:rPr>
          <w:rFonts w:ascii="Symbol" w:hAnsi="Symbol" w:cs="Symbol" w:hint="default"/>
        </w:rPr>
      </w:lvl>
    </w:lvlOverride>
    <w:lvlOverride w:ilvl="3">
      <w:startOverride w:val="0"/>
    </w:lvlOverride>
    <w:lvlOverride w:ilvl="4">
      <w:lvl w:ilvl="4">
        <w:start w:val="0"/>
        <w:numFmt w:val="bullet"/>
        <w:lvlText w:val="o"/>
        <w:lvlJc w:val="left"/>
        <w:pPr>
          <w:tabs>
            <w:tab w:val="num" w:pos="0"/>
          </w:tabs>
          <w:ind w:left="3600" w:hanging="360"/>
        </w:pPr>
        <w:rPr>
          <w:rFonts w:ascii="Courier New" w:hAnsi="Courier New" w:cs="Courier New" w:hint="default"/>
        </w:rPr>
      </w:lvl>
    </w:lvlOverride>
    <w:lvlOverride w:ilvl="4">
      <w:startOverride w:val="0"/>
    </w:lvlOverride>
    <w:lvlOverride w:ilvl="5">
      <w:lvl w:ilvl="5">
        <w:start w:val="0"/>
        <w:numFmt w:val="bullet"/>
        <w:lvlText w:val=""/>
        <w:lvlJc w:val="left"/>
        <w:pPr>
          <w:tabs>
            <w:tab w:val="num" w:pos="0"/>
          </w:tabs>
          <w:ind w:left="4320" w:hanging="360"/>
        </w:pPr>
        <w:rPr>
          <w:rFonts w:ascii="Wingdings" w:hAnsi="Wingdings" w:cs="Wingdings" w:hint="default"/>
        </w:rPr>
      </w:lvl>
    </w:lvlOverride>
    <w:lvlOverride w:ilvl="5">
      <w:startOverride w:val="0"/>
    </w:lvlOverride>
    <w:lvlOverride w:ilvl="6">
      <w:lvl w:ilvl="6">
        <w:start w:val="0"/>
        <w:numFmt w:val="bullet"/>
        <w:lvlText w:val=""/>
        <w:lvlJc w:val="left"/>
        <w:pPr>
          <w:tabs>
            <w:tab w:val="num" w:pos="0"/>
          </w:tabs>
          <w:ind w:left="5040" w:hanging="360"/>
        </w:pPr>
        <w:rPr>
          <w:rFonts w:ascii="Symbol" w:hAnsi="Symbol" w:cs="Symbol" w:hint="default"/>
        </w:rPr>
      </w:lvl>
    </w:lvlOverride>
    <w:lvlOverride w:ilvl="6">
      <w:startOverride w:val="0"/>
    </w:lvlOverride>
    <w:lvlOverride w:ilvl="7">
      <w:lvl w:ilvl="7">
        <w:start w:val="0"/>
        <w:numFmt w:val="bullet"/>
        <w:lvlText w:val="o"/>
        <w:lvlJc w:val="left"/>
        <w:pPr>
          <w:tabs>
            <w:tab w:val="num" w:pos="0"/>
          </w:tabs>
          <w:ind w:left="5760" w:hanging="360"/>
        </w:pPr>
        <w:rPr>
          <w:rFonts w:ascii="Courier New" w:hAnsi="Courier New" w:cs="Courier New" w:hint="default"/>
        </w:rPr>
      </w:lvl>
    </w:lvlOverride>
    <w:lvlOverride w:ilvl="7">
      <w:startOverride w:val="0"/>
    </w:lvlOverride>
    <w:lvlOverride w:ilvl="8">
      <w:lvl w:ilvl="8">
        <w:start w:val="0"/>
        <w:numFmt w:val="bullet"/>
        <w:lvlText w:val=""/>
        <w:lvlJc w:val="left"/>
        <w:pPr>
          <w:tabs>
            <w:tab w:val="num" w:pos="0"/>
          </w:tabs>
          <w:ind w:left="6480" w:hanging="360"/>
        </w:pPr>
        <w:rPr>
          <w:rFonts w:ascii="Wingdings" w:hAnsi="Wingdings" w:cs="Wingdings" w:hint="default"/>
        </w:rPr>
      </w:lvl>
    </w:lvlOverride>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LibreOffice/24.2.7.2$Linux_X86_64 LibreOffice_project/420$Build-2</Application>
  <AppVersion>15.0000</AppVersion>
  <Pages>4</Pages>
  <Words>784</Words>
  <Characters>4914</Characters>
  <CharactersWithSpaces>5578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2025-11-24T07:17:03Z</dcterms:created>
  <dc:creator/>
  <dc:description/>
  <dc:language>en-AU</dc:language>
  <cp:lastModifiedBy/>
  <dcterms:modified xsi:type="dcterms:W3CDTF">2025-11-24T17:25:44Z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